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C5F59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95530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FBFFC8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955303">
        <w:rPr>
          <w:rFonts w:ascii="Arial" w:hAnsi="Arial" w:cs="Arial"/>
          <w:b/>
          <w:bCs/>
          <w:sz w:val="22"/>
          <w:szCs w:val="22"/>
        </w:rPr>
        <w:t xml:space="preserve">Administrativo nº </w:t>
      </w:r>
      <w:r w:rsidR="00955303" w:rsidRPr="00955303">
        <w:rPr>
          <w:rFonts w:ascii="Arial" w:hAnsi="Arial" w:cs="Arial"/>
          <w:b/>
          <w:bCs/>
          <w:sz w:val="22"/>
          <w:szCs w:val="22"/>
        </w:rPr>
        <w:t>30.667/2024</w:t>
      </w:r>
      <w:r w:rsidR="0071720D" w:rsidRPr="00955303">
        <w:rPr>
          <w:rFonts w:ascii="Arial" w:hAnsi="Arial" w:cs="Arial"/>
          <w:b/>
          <w:bCs/>
          <w:sz w:val="22"/>
          <w:szCs w:val="22"/>
        </w:rPr>
        <w:t>,</w:t>
      </w:r>
      <w:r w:rsidR="005466C3" w:rsidRPr="00955303">
        <w:rPr>
          <w:rFonts w:ascii="Arial" w:hAnsi="Arial" w:cs="Arial"/>
          <w:b/>
          <w:bCs/>
          <w:sz w:val="22"/>
          <w:szCs w:val="22"/>
        </w:rPr>
        <w:t xml:space="preserve"> </w:t>
      </w:r>
      <w:r w:rsidRPr="00955303">
        <w:rPr>
          <w:rFonts w:ascii="Arial" w:hAnsi="Arial" w:cs="Arial"/>
          <w:sz w:val="22"/>
          <w:szCs w:val="22"/>
        </w:rPr>
        <w:t xml:space="preserve">e em observância às disposições da Lei nº </w:t>
      </w:r>
      <w:r w:rsidR="00F232EF" w:rsidRPr="00955303">
        <w:rPr>
          <w:rFonts w:ascii="Arial" w:hAnsi="Arial" w:cs="Arial"/>
          <w:sz w:val="22"/>
          <w:szCs w:val="22"/>
        </w:rPr>
        <w:t xml:space="preserve">14.133, </w:t>
      </w:r>
      <w:r w:rsidR="009872FB" w:rsidRPr="00955303">
        <w:rPr>
          <w:rFonts w:ascii="Arial" w:hAnsi="Arial" w:cs="Arial"/>
          <w:sz w:val="22"/>
          <w:szCs w:val="22"/>
        </w:rPr>
        <w:t xml:space="preserve">de 1º de abril </w:t>
      </w:r>
      <w:r w:rsidR="00F232EF" w:rsidRPr="00955303">
        <w:rPr>
          <w:rFonts w:ascii="Arial" w:hAnsi="Arial" w:cs="Arial"/>
          <w:sz w:val="22"/>
          <w:szCs w:val="22"/>
        </w:rPr>
        <w:t>de 2021</w:t>
      </w:r>
      <w:r w:rsidR="0050761F" w:rsidRPr="00955303">
        <w:rPr>
          <w:rFonts w:ascii="Arial" w:hAnsi="Arial" w:cs="Arial"/>
          <w:sz w:val="22"/>
          <w:szCs w:val="22"/>
        </w:rPr>
        <w:t xml:space="preserve"> </w:t>
      </w:r>
      <w:r w:rsidR="0050761F" w:rsidRPr="00955303">
        <w:rPr>
          <w:rFonts w:ascii="Arial" w:hAnsi="Arial" w:cs="Arial"/>
          <w:sz w:val="22"/>
          <w:szCs w:val="22"/>
          <w:lang w:val="pt-PT"/>
        </w:rPr>
        <w:t xml:space="preserve">e </w:t>
      </w:r>
      <w:r w:rsidR="009872FB" w:rsidRPr="00955303">
        <w:rPr>
          <w:rFonts w:ascii="Arial" w:hAnsi="Arial" w:cs="Arial"/>
          <w:sz w:val="22"/>
          <w:szCs w:val="22"/>
          <w:lang w:val="pt-PT"/>
        </w:rPr>
        <w:t>demais legislações aplicáveis</w:t>
      </w:r>
      <w:r w:rsidR="006306EF" w:rsidRPr="00955303">
        <w:rPr>
          <w:rFonts w:ascii="Arial" w:hAnsi="Arial" w:cs="Arial"/>
          <w:sz w:val="22"/>
          <w:szCs w:val="22"/>
        </w:rPr>
        <w:t>,</w:t>
      </w:r>
      <w:r w:rsidRPr="00955303">
        <w:rPr>
          <w:rFonts w:ascii="Arial" w:hAnsi="Arial" w:cs="Arial"/>
          <w:i/>
          <w:sz w:val="22"/>
          <w:szCs w:val="22"/>
        </w:rPr>
        <w:t xml:space="preserve"> </w:t>
      </w:r>
      <w:r w:rsidRPr="00955303">
        <w:rPr>
          <w:rFonts w:ascii="Arial" w:hAnsi="Arial" w:cs="Arial"/>
          <w:sz w:val="22"/>
          <w:szCs w:val="22"/>
        </w:rPr>
        <w:t xml:space="preserve">resolvem celebrar o presente Termo de Contrato, decorrente do </w:t>
      </w:r>
      <w:r w:rsidR="005466C3" w:rsidRPr="00955303">
        <w:rPr>
          <w:rFonts w:ascii="Arial" w:hAnsi="Arial" w:cs="Arial"/>
          <w:b/>
          <w:bCs/>
          <w:sz w:val="22"/>
          <w:szCs w:val="22"/>
        </w:rPr>
        <w:t>Pregão Eletrônico</w:t>
      </w:r>
      <w:r w:rsidR="000B23ED" w:rsidRPr="00955303">
        <w:rPr>
          <w:rFonts w:ascii="Arial" w:hAnsi="Arial" w:cs="Arial"/>
          <w:b/>
          <w:bCs/>
          <w:sz w:val="22"/>
          <w:szCs w:val="22"/>
        </w:rPr>
        <w:t xml:space="preserve"> </w:t>
      </w:r>
      <w:r w:rsidR="005466C3" w:rsidRPr="00955303">
        <w:rPr>
          <w:rFonts w:ascii="Arial" w:hAnsi="Arial" w:cs="Arial"/>
          <w:b/>
          <w:bCs/>
          <w:sz w:val="22"/>
          <w:szCs w:val="22"/>
        </w:rPr>
        <w:t xml:space="preserve">nº </w:t>
      </w:r>
      <w:r w:rsidR="00955303" w:rsidRPr="00955303">
        <w:rPr>
          <w:rFonts w:ascii="Arial" w:hAnsi="Arial" w:cs="Arial"/>
          <w:b/>
          <w:bCs/>
          <w:sz w:val="22"/>
          <w:szCs w:val="22"/>
        </w:rPr>
        <w:t>90.025/2025</w:t>
      </w:r>
      <w:r w:rsidRPr="00955303">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E7BC3A5"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955303" w:rsidRPr="00955303">
        <w:rPr>
          <w:rFonts w:ascii="Arial" w:eastAsia="Times New Roman" w:hAnsi="Arial" w:cs="Arial"/>
          <w:b/>
          <w:bCs/>
          <w:lang w:val="pt-BR" w:eastAsia="pt-BR"/>
        </w:rPr>
        <w:t>AQUISIÇÃO, sob demanda, de ÁGUA MINERAL, acondicionada em galões de 20 litros, com COMODATO de 180 bebedouros elétricos e 720 galões de plástico, para atender às necessidades das Secretarias e Fundação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4D474E85" w:rsidR="007B0D84" w:rsidRPr="00327722" w:rsidRDefault="00955303" w:rsidP="0032772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327722">
        <w:rPr>
          <w:rFonts w:ascii="Arial" w:hAnsi="Arial" w:cs="Arial"/>
          <w:bCs/>
          <w:iCs/>
          <w:u w:val="single"/>
        </w:rPr>
        <w:t>MODELO DE EXECUÇÃO DO OBJETO:</w:t>
      </w:r>
    </w:p>
    <w:p w14:paraId="6CC20245" w14:textId="2993F2ED"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O fornecimento será efetuado de acordo com a demanda, no endereço abaixo, com prazo de entrega não superior a 3 (três) dias corridos, contados do pedido via e-mail.</w:t>
      </w:r>
    </w:p>
    <w:tbl>
      <w:tblPr>
        <w:tblW w:w="9078"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2505"/>
        <w:gridCol w:w="586"/>
        <w:gridCol w:w="5864"/>
        <w:gridCol w:w="123"/>
      </w:tblGrid>
      <w:tr w:rsidR="00955303" w:rsidRPr="00955303" w14:paraId="15C33907" w14:textId="77777777" w:rsidTr="00C401FE">
        <w:tc>
          <w:tcPr>
            <w:tcW w:w="3091" w:type="dxa"/>
            <w:gridSpan w:val="2"/>
            <w:tcBorders>
              <w:left w:val="nil"/>
              <w:right w:val="nil"/>
            </w:tcBorders>
            <w:vAlign w:val="center"/>
          </w:tcPr>
          <w:p w14:paraId="69DE0CFF" w14:textId="77777777" w:rsidR="00955303" w:rsidRPr="00955303" w:rsidRDefault="00955303" w:rsidP="00327722">
            <w:pPr>
              <w:pStyle w:val="PargrafodaLista"/>
              <w:spacing w:line="360" w:lineRule="auto"/>
              <w:ind w:left="0" w:firstLineChars="99" w:firstLine="218"/>
              <w:jc w:val="both"/>
              <w:rPr>
                <w:rFonts w:ascii="Arial" w:hAnsi="Arial" w:cs="Arial"/>
                <w:bCs/>
                <w:iCs/>
              </w:rPr>
            </w:pPr>
            <w:r w:rsidRPr="00955303">
              <w:rPr>
                <w:rFonts w:ascii="Arial" w:hAnsi="Arial" w:cs="Arial"/>
                <w:bCs/>
                <w:iCs/>
              </w:rPr>
              <w:t>Nome do requisitante:</w:t>
            </w:r>
          </w:p>
        </w:tc>
        <w:tc>
          <w:tcPr>
            <w:tcW w:w="5987" w:type="dxa"/>
            <w:gridSpan w:val="2"/>
            <w:tcBorders>
              <w:left w:val="nil"/>
              <w:right w:val="nil"/>
            </w:tcBorders>
            <w:vAlign w:val="center"/>
          </w:tcPr>
          <w:p w14:paraId="06A57D43" w14:textId="77777777" w:rsidR="00955303" w:rsidRPr="00955303" w:rsidRDefault="00955303" w:rsidP="00327722">
            <w:pPr>
              <w:pStyle w:val="PargrafodaLista"/>
              <w:spacing w:before="120" w:after="120" w:line="360" w:lineRule="auto"/>
              <w:ind w:left="0" w:firstLineChars="99" w:firstLine="218"/>
              <w:jc w:val="center"/>
              <w:textAlignment w:val="baseline"/>
              <w:rPr>
                <w:rFonts w:ascii="Arial" w:hAnsi="Arial" w:cs="Arial"/>
                <w:bCs/>
                <w:iCs/>
              </w:rPr>
            </w:pPr>
            <w:r w:rsidRPr="00955303">
              <w:rPr>
                <w:rFonts w:ascii="Arial" w:hAnsi="Arial" w:cs="Arial"/>
                <w:bCs/>
                <w:iCs/>
              </w:rPr>
              <w:t>ALMOXARIFADO CENTRAL</w:t>
            </w:r>
          </w:p>
        </w:tc>
      </w:tr>
      <w:tr w:rsidR="00955303" w:rsidRPr="00955303" w14:paraId="250366F5" w14:textId="77777777" w:rsidTr="00C401FE">
        <w:trPr>
          <w:gridAfter w:val="1"/>
          <w:wAfter w:w="123" w:type="dxa"/>
          <w:trHeight w:val="1337"/>
        </w:trPr>
        <w:tc>
          <w:tcPr>
            <w:tcW w:w="2505" w:type="dxa"/>
            <w:tcBorders>
              <w:left w:val="nil"/>
              <w:right w:val="nil"/>
            </w:tcBorders>
            <w:vAlign w:val="center"/>
          </w:tcPr>
          <w:p w14:paraId="7D6F722B" w14:textId="77777777" w:rsidR="00955303" w:rsidRPr="00955303" w:rsidRDefault="00955303" w:rsidP="00327722">
            <w:pPr>
              <w:pStyle w:val="PargrafodaLista"/>
              <w:spacing w:line="360" w:lineRule="auto"/>
              <w:ind w:left="0" w:firstLineChars="99" w:firstLine="218"/>
              <w:jc w:val="both"/>
              <w:rPr>
                <w:rFonts w:ascii="Arial" w:hAnsi="Arial" w:cs="Arial"/>
                <w:bCs/>
                <w:iCs/>
              </w:rPr>
            </w:pPr>
            <w:r w:rsidRPr="00955303">
              <w:rPr>
                <w:rFonts w:ascii="Arial" w:hAnsi="Arial" w:cs="Arial"/>
                <w:bCs/>
                <w:iCs/>
              </w:rPr>
              <w:t>Endereço:</w:t>
            </w:r>
          </w:p>
        </w:tc>
        <w:tc>
          <w:tcPr>
            <w:tcW w:w="6450" w:type="dxa"/>
            <w:gridSpan w:val="2"/>
            <w:tcBorders>
              <w:left w:val="nil"/>
              <w:right w:val="nil"/>
            </w:tcBorders>
            <w:vAlign w:val="center"/>
          </w:tcPr>
          <w:p w14:paraId="377BD767" w14:textId="77777777" w:rsidR="00955303" w:rsidRPr="00955303" w:rsidRDefault="00955303" w:rsidP="00327722">
            <w:pPr>
              <w:pStyle w:val="PargrafodaLista"/>
              <w:spacing w:before="120" w:after="120" w:line="360" w:lineRule="auto"/>
              <w:ind w:left="0" w:firstLineChars="99" w:firstLine="218"/>
              <w:jc w:val="center"/>
              <w:textAlignment w:val="baseline"/>
              <w:rPr>
                <w:rFonts w:ascii="Arial" w:hAnsi="Arial" w:cs="Arial"/>
                <w:bCs/>
                <w:iCs/>
              </w:rPr>
            </w:pPr>
            <w:r w:rsidRPr="00955303">
              <w:rPr>
                <w:rFonts w:ascii="Arial" w:hAnsi="Arial" w:cs="Arial"/>
                <w:bCs/>
                <w:iCs/>
              </w:rPr>
              <w:t>Locais determinados pelo órgão requisitante, todos dentro do Município de Nova Friburgo.</w:t>
            </w:r>
          </w:p>
        </w:tc>
      </w:tr>
      <w:tr w:rsidR="00955303" w:rsidRPr="00955303" w14:paraId="66B30830" w14:textId="77777777" w:rsidTr="00C401FE">
        <w:trPr>
          <w:gridAfter w:val="1"/>
          <w:wAfter w:w="123" w:type="dxa"/>
          <w:trHeight w:val="1191"/>
        </w:trPr>
        <w:tc>
          <w:tcPr>
            <w:tcW w:w="2505" w:type="dxa"/>
            <w:tcBorders>
              <w:left w:val="nil"/>
              <w:right w:val="nil"/>
            </w:tcBorders>
            <w:vAlign w:val="center"/>
          </w:tcPr>
          <w:p w14:paraId="0E9184FF" w14:textId="77777777" w:rsidR="00955303" w:rsidRPr="00955303" w:rsidRDefault="00955303" w:rsidP="00327722">
            <w:pPr>
              <w:pStyle w:val="PargrafodaLista"/>
              <w:spacing w:line="360" w:lineRule="auto"/>
              <w:ind w:left="0" w:firstLineChars="99" w:firstLine="218"/>
              <w:jc w:val="both"/>
              <w:rPr>
                <w:rFonts w:ascii="Arial" w:hAnsi="Arial" w:cs="Arial"/>
                <w:bCs/>
                <w:iCs/>
              </w:rPr>
            </w:pPr>
            <w:r w:rsidRPr="00955303">
              <w:rPr>
                <w:rFonts w:ascii="Arial" w:hAnsi="Arial" w:cs="Arial"/>
                <w:bCs/>
                <w:iCs/>
              </w:rPr>
              <w:t>Horário de entrega:</w:t>
            </w:r>
          </w:p>
        </w:tc>
        <w:tc>
          <w:tcPr>
            <w:tcW w:w="6450" w:type="dxa"/>
            <w:gridSpan w:val="2"/>
            <w:tcBorders>
              <w:left w:val="nil"/>
              <w:right w:val="nil"/>
            </w:tcBorders>
            <w:vAlign w:val="center"/>
          </w:tcPr>
          <w:p w14:paraId="7FA7E2C1" w14:textId="77777777" w:rsidR="00955303" w:rsidRPr="00955303" w:rsidRDefault="00955303" w:rsidP="00327722">
            <w:pPr>
              <w:pStyle w:val="PargrafodaLista"/>
              <w:spacing w:before="120" w:after="120" w:line="360" w:lineRule="auto"/>
              <w:ind w:left="0" w:firstLineChars="99" w:firstLine="218"/>
              <w:jc w:val="center"/>
              <w:textAlignment w:val="baseline"/>
              <w:rPr>
                <w:rFonts w:ascii="Arial" w:hAnsi="Arial" w:cs="Arial"/>
                <w:bCs/>
                <w:iCs/>
              </w:rPr>
            </w:pPr>
            <w:r w:rsidRPr="00955303">
              <w:rPr>
                <w:rFonts w:ascii="Arial" w:hAnsi="Arial" w:cs="Arial"/>
                <w:bCs/>
                <w:iCs/>
              </w:rPr>
              <w:t>Horário de entrega: de segunda a sexta-feira, das 09:00 horas às 14:00 horas.</w:t>
            </w:r>
          </w:p>
        </w:tc>
      </w:tr>
    </w:tbl>
    <w:p w14:paraId="7D4DFFDC" w14:textId="77777777" w:rsidR="00955303" w:rsidRPr="00955303" w:rsidRDefault="00955303" w:rsidP="00327722">
      <w:pPr>
        <w:pStyle w:val="PargrafodaLista"/>
        <w:tabs>
          <w:tab w:val="left" w:pos="0"/>
        </w:tabs>
        <w:spacing w:line="360" w:lineRule="auto"/>
        <w:ind w:left="0"/>
        <w:jc w:val="both"/>
        <w:rPr>
          <w:rFonts w:ascii="Arial" w:hAnsi="Arial" w:cs="Arial"/>
          <w:bCs/>
          <w:iCs/>
        </w:rPr>
      </w:pPr>
    </w:p>
    <w:p w14:paraId="345DA6BD" w14:textId="69F78F91"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Os funcionários da CONTRATADA deverão estar devidamente uniformizados e portando todos os Equipamentos de Proteção Individual que a entrega requer. </w:t>
      </w:r>
    </w:p>
    <w:p w14:paraId="07D27868" w14:textId="799788F6"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Para facilitar a identificação e por segurança, os funcionários deverão apresentar identificação pessoal através de crachá e identificação do veículo de transporte, através de adesivos ou placas.</w:t>
      </w:r>
    </w:p>
    <w:p w14:paraId="3061D5CB" w14:textId="0FFA0286"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Caso não seja possível a entrega do produto na data assinalada, a empresa deverá comunicar as razões respectivas com pelo menos 7 (sete) dias de antecedência para que </w:t>
      </w:r>
      <w:r w:rsidRPr="00955303">
        <w:rPr>
          <w:rFonts w:ascii="Arial" w:hAnsi="Arial" w:cs="Arial"/>
          <w:bCs/>
          <w:iCs/>
        </w:rPr>
        <w:lastRenderedPageBreak/>
        <w:t>qualquer pleito de prorrogação de prazo seja analisado, ressalvadas situações de caso fortuito e força maior.</w:t>
      </w:r>
    </w:p>
    <w:p w14:paraId="3453A670" w14:textId="3F0DCC8E"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Não será admitida, em nenhuma hipótese, troca/substituição de marca do produto ofertado após aprovação da amostra, ou seja, a CONTRATADA deverá entregar o produto exatamente nas mesmas condições que fora aprovado. O não cumprimento deste subitem, permitirá por parte da CONTRATANTE, aplicação das sanções previstas neste Termo de Referência.</w:t>
      </w:r>
    </w:p>
    <w:p w14:paraId="0824DA6D" w14:textId="698D83AF"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Os produtos serão recebidos provisoriamente no prazo de 02 (dois) dias úteis, pelo(a) responsável pelo acompanhamento e fiscalização do contrato, para efeito de posterior verificação de sua conformidade com as especificações constantes neste Termo de Referência e na proposta.</w:t>
      </w:r>
    </w:p>
    <w:p w14:paraId="08DC42DF" w14:textId="70F29E80"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Os bens deverão ter em seus rótulos: prazo de validade e data de fabricação, bem como no galão de plástico deverão constar essas mesmas informações; dados de identificação do produto, marca do fabricante, registro no ministério da Saúde e ANVISA e identificação do técnico responsável.</w:t>
      </w:r>
    </w:p>
    <w:p w14:paraId="04FE0C21" w14:textId="1A8E35AA"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 Os bens poderão ser rejeitados, no todo ou em parte, quando em desacordo com as especificações constantes neste Termo de Referência e na proposta, devendo ser substituídos no prazo de 02 (dois) dias úteis a contar da notificação da contratada, às suas custas, sem prejuízo da aplicação das penalidades.</w:t>
      </w:r>
    </w:p>
    <w:p w14:paraId="2123FA6C" w14:textId="6CF50C82"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 Os bens serão recebidos definitivamente no prazo de 02 (dois) dias úteis, contados do recebimento provisório, após a verificação da qualidade e quantidade do material e consequente aceitação mediante termo circunstanciado.</w:t>
      </w:r>
    </w:p>
    <w:p w14:paraId="7C4AD00E" w14:textId="6BEFAD64" w:rsidR="00955303" w:rsidRP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 Na hipótese de a verificação a que se refere o subitem anterior não ser procedida dentro do prazo fixado, reputar-se-á como realizada, consumando-se o recebimento definitivo no dia do esgotamento do prazo.</w:t>
      </w:r>
    </w:p>
    <w:p w14:paraId="5D1CAC95" w14:textId="0289886A" w:rsidR="00955303" w:rsidRDefault="00955303" w:rsidP="00327722">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955303">
        <w:rPr>
          <w:rFonts w:ascii="Arial" w:hAnsi="Arial" w:cs="Arial"/>
          <w:bCs/>
          <w:iCs/>
        </w:rPr>
        <w:t xml:space="preserve"> O recebimento provisório ou definitivo não excluirá a responsabilidade civil pela solidez e pela segurança do serviço nem a responsabilidade ético-profissional pela perfeita execução do contrato.</w:t>
      </w:r>
    </w:p>
    <w:p w14:paraId="7B969078" w14:textId="21AE5EAE" w:rsidR="00327722" w:rsidRPr="00C23002" w:rsidRDefault="00327722" w:rsidP="00923B3A">
      <w:pPr>
        <w:pStyle w:val="PargrafodaLista"/>
        <w:widowControl/>
        <w:numPr>
          <w:ilvl w:val="1"/>
          <w:numId w:val="2"/>
        </w:numPr>
        <w:pBdr>
          <w:top w:val="none" w:sz="0" w:space="0" w:color="00000A"/>
          <w:left w:val="none" w:sz="0" w:space="0" w:color="00000A"/>
          <w:bottom w:val="none" w:sz="0" w:space="1" w:color="00000A"/>
          <w:right w:val="none" w:sz="0" w:space="0" w:color="00000A"/>
        </w:pBdr>
        <w:tabs>
          <w:tab w:val="left" w:pos="567"/>
        </w:tabs>
        <w:suppressAutoHyphens/>
        <w:autoSpaceDE/>
        <w:autoSpaceDN/>
        <w:contextualSpacing/>
        <w:jc w:val="both"/>
        <w:rPr>
          <w:rFonts w:ascii="Arial" w:hAnsi="Arial" w:cs="Arial"/>
          <w:bCs/>
          <w:iCs/>
          <w:u w:val="single"/>
        </w:rPr>
      </w:pPr>
      <w:r w:rsidRPr="00C23002">
        <w:rPr>
          <w:rFonts w:ascii="Arial" w:hAnsi="Arial" w:cs="Arial"/>
          <w:bCs/>
          <w:iCs/>
          <w:u w:val="single"/>
        </w:rPr>
        <w:t>MODELO DE GESTÃO DO CONTRATO</w:t>
      </w:r>
      <w:r w:rsidR="00172791" w:rsidRPr="00C23002">
        <w:rPr>
          <w:rFonts w:ascii="Arial" w:hAnsi="Arial" w:cs="Arial"/>
          <w:bCs/>
          <w:iCs/>
          <w:u w:val="single"/>
        </w:rPr>
        <w:t>:</w:t>
      </w:r>
    </w:p>
    <w:p w14:paraId="5D65E562" w14:textId="46114F36" w:rsidR="00172791" w:rsidRPr="00923B3A" w:rsidRDefault="00923B3A" w:rsidP="00923B3A">
      <w:pPr>
        <w:widowControl/>
        <w:suppressAutoHyphens/>
        <w:autoSpaceDE/>
        <w:autoSpaceDN/>
        <w:spacing w:line="360" w:lineRule="auto"/>
        <w:contextualSpacing/>
        <w:jc w:val="both"/>
        <w:rPr>
          <w:rFonts w:ascii="Arial" w:hAnsi="Arial" w:cs="Arial"/>
          <w:bCs/>
          <w:iCs/>
        </w:rPr>
      </w:pPr>
      <w:r w:rsidRPr="00923B3A">
        <w:rPr>
          <w:rFonts w:ascii="Arial" w:hAnsi="Arial" w:cs="Arial"/>
          <w:bCs/>
          <w:iCs/>
        </w:rPr>
        <w:t xml:space="preserve">3.2.1 </w:t>
      </w:r>
      <w:r w:rsidR="00172791" w:rsidRPr="00923B3A">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6EDD73C5" w14:textId="77777777" w:rsidR="00923B3A"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bookmarkStart w:id="3" w:name="art115§5"/>
      <w:bookmarkStart w:id="4" w:name="art115§1"/>
      <w:bookmarkEnd w:id="3"/>
      <w:bookmarkEnd w:id="4"/>
      <w:r w:rsidRPr="00923B3A">
        <w:rPr>
          <w:rFonts w:ascii="Arial" w:hAnsi="Arial" w:cs="Arial"/>
          <w:bCs/>
          <w:iCs/>
        </w:rPr>
        <w:lastRenderedPageBreak/>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309110F7" w14:textId="77777777" w:rsidR="00923B3A"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A execução do contrato deverá ser acompanhada e fiscalizada pelo(s) fiscal(is) do contrato, ou pelos respectivos substitutos, que serão designados posteriormente pela autoridade requisitante, antes da execução do objeto, através de publicação de Ordem de Serviço.</w:t>
      </w:r>
    </w:p>
    <w:p w14:paraId="2500B3DD" w14:textId="412481B7"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Para o acompanhamento, gestão e fiscalização da execução do presente contrato, serão designados em momento posterior, antes da execução do objeto, agentes públicos gesto/gestor substituto e fiscal/fiscal/substituto.</w:t>
      </w:r>
    </w:p>
    <w:p w14:paraId="2700FD07" w14:textId="48449225" w:rsidR="00172791" w:rsidRPr="00923B3A" w:rsidRDefault="00923B3A" w:rsidP="00C23002">
      <w:pPr>
        <w:widowControl/>
        <w:numPr>
          <w:ilvl w:val="2"/>
          <w:numId w:val="11"/>
        </w:numPr>
        <w:suppressAutoHyphens/>
        <w:overflowPunct w:val="0"/>
        <w:autoSpaceDE/>
        <w:autoSpaceDN/>
        <w:spacing w:before="120" w:after="120" w:line="360" w:lineRule="auto"/>
        <w:ind w:left="0" w:firstLine="0"/>
        <w:jc w:val="both"/>
        <w:textAlignment w:val="baseline"/>
        <w:rPr>
          <w:rFonts w:ascii="Arial" w:hAnsi="Arial" w:cs="Arial"/>
          <w:bCs/>
          <w:iCs/>
        </w:rPr>
      </w:pPr>
      <w:r w:rsidRPr="00923B3A">
        <w:rPr>
          <w:rFonts w:ascii="Arial" w:hAnsi="Arial" w:cs="Arial"/>
          <w:bCs/>
          <w:iCs/>
        </w:rPr>
        <w:t xml:space="preserve"> </w:t>
      </w:r>
      <w:r w:rsidR="00172791" w:rsidRPr="00923B3A">
        <w:rPr>
          <w:rFonts w:ascii="Arial" w:hAnsi="Arial" w:cs="Arial"/>
          <w:bCs/>
          <w:iCs/>
        </w:rPr>
        <w:t>O fiscal do contrato anotará em registro próprio todas as ocorrências relacionadas à execução do contrato, indicando dia, mês e ano, determinando o que for necessário para a regularização das faltas ou dos defeitos observados e encaminhando os apontamentos a autoridade competente para providências cabíveis (Lei nº 14.133/2021, art. 117, §1º).</w:t>
      </w:r>
      <w:bookmarkStart w:id="6" w:name="art117§2"/>
      <w:bookmarkEnd w:id="6"/>
    </w:p>
    <w:p w14:paraId="6BF7C3EA" w14:textId="77777777" w:rsidR="00172791" w:rsidRPr="00923B3A" w:rsidRDefault="00172791" w:rsidP="00C23002">
      <w:pPr>
        <w:widowControl/>
        <w:numPr>
          <w:ilvl w:val="2"/>
          <w:numId w:val="11"/>
        </w:numPr>
        <w:suppressAutoHyphens/>
        <w:overflowPunct w:val="0"/>
        <w:autoSpaceDE/>
        <w:autoSpaceDN/>
        <w:spacing w:before="120" w:after="120" w:line="360" w:lineRule="auto"/>
        <w:ind w:left="0" w:firstLine="0"/>
        <w:jc w:val="both"/>
        <w:textAlignment w:val="baseline"/>
        <w:rPr>
          <w:rFonts w:ascii="Arial" w:hAnsi="Arial" w:cs="Arial"/>
          <w:bCs/>
          <w:iCs/>
        </w:rPr>
      </w:pPr>
      <w:r w:rsidRPr="00923B3A">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1B23E810" w14:textId="77777777" w:rsidR="00172791" w:rsidRPr="00923B3A" w:rsidRDefault="00172791" w:rsidP="00C23002">
      <w:pPr>
        <w:widowControl/>
        <w:numPr>
          <w:ilvl w:val="2"/>
          <w:numId w:val="11"/>
        </w:numPr>
        <w:suppressAutoHyphens/>
        <w:overflowPunct w:val="0"/>
        <w:autoSpaceDE/>
        <w:autoSpaceDN/>
        <w:spacing w:before="120" w:after="120" w:line="360" w:lineRule="auto"/>
        <w:ind w:left="0" w:firstLine="0"/>
        <w:jc w:val="both"/>
        <w:textAlignment w:val="baseline"/>
        <w:rPr>
          <w:rFonts w:ascii="Arial" w:hAnsi="Arial" w:cs="Arial"/>
          <w:bCs/>
          <w:iCs/>
        </w:rPr>
      </w:pPr>
      <w:r w:rsidRPr="00923B3A">
        <w:rPr>
          <w:rFonts w:ascii="Arial" w:hAnsi="Arial" w:cs="Arial"/>
          <w:bCs/>
          <w:iC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4B8A719F" w14:textId="6F9FAE24"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bookmarkStart w:id="7" w:name="art120"/>
      <w:bookmarkEnd w:id="7"/>
      <w:r w:rsidRPr="00923B3A">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1935C95D" w14:textId="76030E89"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bookmarkStart w:id="8" w:name="art121"/>
      <w:bookmarkEnd w:id="8"/>
      <w:r w:rsidRPr="00923B3A">
        <w:rPr>
          <w:rFonts w:ascii="Arial" w:hAnsi="Arial" w:cs="Arial"/>
          <w:bCs/>
          <w:iCs/>
        </w:rPr>
        <w:t>Somente o CONTRATADO será responsável pelos encargos trabalhistas, previdenciários, fiscais e comerciais resultantes da execução do contrato (Lei nº 14.133/2021, art. 121, caput).</w:t>
      </w:r>
    </w:p>
    <w:p w14:paraId="3F7ABE24" w14:textId="6F1CFD58"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bookmarkStart w:id="9" w:name="art121§1"/>
      <w:bookmarkEnd w:id="9"/>
      <w:r w:rsidRPr="00923B3A">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62DD3E3F" w14:textId="35BF2808"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bookmarkStart w:id="10" w:name="art122§3"/>
      <w:bookmarkStart w:id="11" w:name="art122"/>
      <w:bookmarkStart w:id="12" w:name="art122§2"/>
      <w:bookmarkStart w:id="13" w:name="art122§1"/>
      <w:bookmarkStart w:id="14" w:name="art123"/>
      <w:bookmarkEnd w:id="10"/>
      <w:bookmarkEnd w:id="11"/>
      <w:bookmarkEnd w:id="12"/>
      <w:bookmarkEnd w:id="13"/>
      <w:bookmarkEnd w:id="14"/>
      <w:r w:rsidRPr="00923B3A">
        <w:rPr>
          <w:rFonts w:ascii="Arial" w:hAnsi="Arial" w:cs="Arial"/>
          <w:bCs/>
          <w:iCs/>
        </w:rPr>
        <w:lastRenderedPageBreak/>
        <w:t>As comunicações entre o órgão ou entidade e a CONTRATADA devem ser realizadas por escrito sempre que o ato exigir tal formalidade, admitindo-se, excepcionalmente, o uso de mensagem eletrônica para esse fim.</w:t>
      </w:r>
    </w:p>
    <w:p w14:paraId="5CA9E88D" w14:textId="7ECFF541"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O órgão ou entidade poderá convocar representante da empresa para adoção de providências que devam ser cumpridas de imediato.</w:t>
      </w:r>
    </w:p>
    <w:p w14:paraId="7D4B581D" w14:textId="0EF17E0D"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Antes do pagamento da nota fiscal ou da fatura, deverá ser consultada a situação da empresa junto ao SICAF.</w:t>
      </w:r>
    </w:p>
    <w:p w14:paraId="4E804A25" w14:textId="357D2C4A"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2AA93FCA" w14:textId="4E95EEF0"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51944F57" w14:textId="4E5482BE"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O fiscal designado pela CONTRATANTE deverá ter a experiência necessária para o acompanhamento e controle da execução dos serviços e do contrato;</w:t>
      </w:r>
    </w:p>
    <w:p w14:paraId="41B48BBB" w14:textId="6F18ECB4"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A verificação da adequação da prestação do serviço deverá ser realizada com base nos critérios previstos neste Termo de Referência;</w:t>
      </w:r>
    </w:p>
    <w:p w14:paraId="46615794" w14:textId="05C358BC" w:rsidR="00172791" w:rsidRPr="00923B3A" w:rsidRDefault="00172791" w:rsidP="00923B3A">
      <w:pPr>
        <w:pStyle w:val="PargrafodaLista"/>
        <w:widowControl/>
        <w:numPr>
          <w:ilvl w:val="2"/>
          <w:numId w:val="11"/>
        </w:numPr>
        <w:suppressAutoHyphens/>
        <w:autoSpaceDE/>
        <w:autoSpaceDN/>
        <w:spacing w:line="360" w:lineRule="auto"/>
        <w:ind w:left="0" w:firstLine="0"/>
        <w:contextualSpacing/>
        <w:jc w:val="both"/>
        <w:rPr>
          <w:rFonts w:ascii="Arial" w:hAnsi="Arial" w:cs="Arial"/>
          <w:bCs/>
          <w:iCs/>
        </w:rPr>
      </w:pPr>
      <w:r w:rsidRPr="00923B3A">
        <w:rPr>
          <w:rFonts w:ascii="Arial" w:hAnsi="Arial" w:cs="Arial"/>
          <w:bCs/>
          <w:iCs/>
        </w:rPr>
        <w:t xml:space="preserve"> A fiscalização pela CONTRATANTE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142ED6C" w14:textId="5A314307" w:rsidR="00327722" w:rsidRPr="00955303" w:rsidRDefault="00327722" w:rsidP="00327722">
      <w:pPr>
        <w:pStyle w:val="PargrafodaLista"/>
        <w:widowControl/>
        <w:suppressAutoHyphens/>
        <w:autoSpaceDE/>
        <w:autoSpaceDN/>
        <w:spacing w:line="360" w:lineRule="auto"/>
        <w:ind w:left="0"/>
        <w:contextualSpacing/>
        <w:jc w:val="both"/>
        <w:rPr>
          <w:rFonts w:ascii="Arial" w:hAnsi="Arial" w:cs="Arial"/>
          <w:bCs/>
          <w:iCs/>
        </w:rPr>
      </w:pPr>
    </w:p>
    <w:p w14:paraId="22193CCF" w14:textId="061360DF" w:rsidR="00C634F1" w:rsidRPr="008C13A3" w:rsidRDefault="00C634F1" w:rsidP="00923B3A">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236243CE" w:rsidR="00C634F1" w:rsidRPr="00C23002" w:rsidRDefault="00C634F1" w:rsidP="00C23002">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C23002">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C23002">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23002" w:rsidRDefault="00147B9F"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23002">
        <w:rPr>
          <w:rFonts w:ascii="Arial" w:hAnsi="Arial" w:cs="Arial"/>
          <w:bCs/>
          <w:iCs/>
        </w:rPr>
        <w:t>O valor total da contratação é de R$.......... (.....)</w:t>
      </w:r>
    </w:p>
    <w:p w14:paraId="19E0CAC1" w14:textId="3066B963" w:rsidR="001D32DF" w:rsidRPr="00C23002" w:rsidRDefault="001D32DF"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23002">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23002" w:rsidRDefault="00147B9F"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C23002">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C23002">
      <w:pPr>
        <w:pStyle w:val="PargrafodaLista"/>
        <w:numPr>
          <w:ilvl w:val="0"/>
          <w:numId w:val="1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2A69057" w14:textId="7BB0CD67" w:rsidR="002B5B8B" w:rsidRPr="002B5B8B" w:rsidRDefault="002B5B8B" w:rsidP="002B5B8B">
      <w:pPr>
        <w:pStyle w:val="PargrafodaLista"/>
        <w:widowControl/>
        <w:numPr>
          <w:ilvl w:val="1"/>
          <w:numId w:val="12"/>
        </w:numPr>
        <w:suppressAutoHyphens/>
        <w:autoSpaceDE/>
        <w:autoSpaceDN/>
        <w:spacing w:line="360" w:lineRule="auto"/>
        <w:ind w:left="0" w:firstLine="0"/>
        <w:contextualSpacing/>
        <w:jc w:val="both"/>
        <w:rPr>
          <w:rFonts w:ascii="Arial" w:hAnsi="Arial" w:cs="Arial"/>
          <w:bCs/>
          <w:iCs/>
        </w:rPr>
      </w:pPr>
      <w:r w:rsidRPr="002B5B8B">
        <w:rPr>
          <w:rFonts w:ascii="Arial" w:hAnsi="Arial" w:cs="Arial"/>
          <w:bCs/>
          <w:iCs/>
        </w:rPr>
        <w:t xml:space="preserve">As notas fiscais deverão ser emitidas em nome de: </w:t>
      </w:r>
      <w:r w:rsidRPr="002B5B8B">
        <w:rPr>
          <w:rFonts w:ascii="Arial" w:hAnsi="Arial" w:cs="Arial"/>
          <w:b/>
          <w:iCs/>
        </w:rPr>
        <w:t>MUNICÍPIO DE NOVA FRIBURGO, CNPJ: 28.606.630/0001-23, ENDEREÇO: AVENIDA ALBERTO BRAUNE, 225, CENTRO, NOVA FRIBURGO - RJ, CEP: 28613-001</w:t>
      </w:r>
      <w:r w:rsidRPr="002B5B8B">
        <w:rPr>
          <w:rFonts w:ascii="Arial" w:hAnsi="Arial" w:cs="Arial"/>
          <w:bCs/>
          <w:iCs/>
        </w:rPr>
        <w:t>.</w:t>
      </w:r>
    </w:p>
    <w:p w14:paraId="52C26DF9" w14:textId="77777777" w:rsidR="002B5B8B" w:rsidRPr="002B5B8B" w:rsidRDefault="002B5B8B" w:rsidP="002B5B8B">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u w:val="single"/>
        </w:rPr>
      </w:pPr>
      <w:r w:rsidRPr="002B5B8B">
        <w:rPr>
          <w:rFonts w:ascii="Arial" w:hAnsi="Arial" w:cs="Arial"/>
          <w:bCs/>
          <w:iCs/>
          <w:u w:val="single"/>
        </w:rPr>
        <w:t>Da liquidação da despesa:</w:t>
      </w:r>
    </w:p>
    <w:p w14:paraId="0801C566"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t>A liquidação será realizada pela Secretaria Municipal de Finanças, Planejamento, Desenvolvimento Econômico e Gestão, a partir do cumprimento das obrigações elencadas neste Termo de Referência, em obediência aos Decretos:</w:t>
      </w:r>
    </w:p>
    <w:p w14:paraId="46FE88A9" w14:textId="77777777" w:rsidR="002B5B8B" w:rsidRPr="002B5B8B" w:rsidRDefault="002B5B8B" w:rsidP="002B5B8B">
      <w:pPr>
        <w:spacing w:line="360" w:lineRule="auto"/>
        <w:jc w:val="both"/>
        <w:rPr>
          <w:rFonts w:ascii="Arial" w:hAnsi="Arial" w:cs="Arial"/>
          <w:bCs/>
          <w:iCs/>
        </w:rPr>
      </w:pPr>
      <w:r w:rsidRPr="002B5B8B">
        <w:rPr>
          <w:rFonts w:ascii="Arial" w:hAnsi="Arial" w:cs="Arial"/>
          <w:bCs/>
          <w:iCs/>
        </w:rPr>
        <w:t>I - 2480 de 30 de outubro de 2023.</w:t>
      </w:r>
    </w:p>
    <w:p w14:paraId="2DCD947C" w14:textId="77777777" w:rsidR="002B5B8B" w:rsidRPr="002B5B8B" w:rsidRDefault="002B5B8B" w:rsidP="002B5B8B">
      <w:pPr>
        <w:spacing w:line="360" w:lineRule="auto"/>
        <w:jc w:val="both"/>
        <w:rPr>
          <w:rFonts w:ascii="Arial" w:hAnsi="Arial" w:cs="Arial"/>
          <w:bCs/>
          <w:iCs/>
        </w:rPr>
      </w:pPr>
      <w:r w:rsidRPr="002B5B8B">
        <w:rPr>
          <w:rFonts w:ascii="Arial" w:hAnsi="Arial" w:cs="Arial"/>
          <w:bCs/>
          <w:iCs/>
        </w:rPr>
        <w:t>II - 2493 de 07 de novembro de 2023.</w:t>
      </w:r>
    </w:p>
    <w:p w14:paraId="42C631C3" w14:textId="77777777" w:rsidR="002B5B8B" w:rsidRPr="002B5B8B" w:rsidRDefault="002B5B8B" w:rsidP="002B5B8B">
      <w:pPr>
        <w:spacing w:line="360" w:lineRule="auto"/>
        <w:jc w:val="both"/>
        <w:rPr>
          <w:rFonts w:ascii="Arial" w:hAnsi="Arial" w:cs="Arial"/>
          <w:bCs/>
          <w:iCs/>
        </w:rPr>
      </w:pPr>
      <w:r w:rsidRPr="002B5B8B">
        <w:rPr>
          <w:rFonts w:ascii="Arial" w:hAnsi="Arial" w:cs="Arial"/>
          <w:bCs/>
          <w:iCs/>
        </w:rPr>
        <w:t>III -  3116 de 18 de setembro de 2024.</w:t>
      </w:r>
    </w:p>
    <w:p w14:paraId="486FE214" w14:textId="77777777" w:rsidR="002B5B8B" w:rsidRPr="002B5B8B" w:rsidRDefault="002B5B8B" w:rsidP="002B5B8B">
      <w:pPr>
        <w:pStyle w:val="PargrafodaLista"/>
        <w:widowControl/>
        <w:numPr>
          <w:ilvl w:val="1"/>
          <w:numId w:val="12"/>
        </w:numPr>
        <w:suppressAutoHyphens/>
        <w:autoSpaceDE/>
        <w:autoSpaceDN/>
        <w:spacing w:before="0" w:line="360" w:lineRule="auto"/>
        <w:ind w:left="0" w:firstLine="0"/>
        <w:contextualSpacing/>
        <w:jc w:val="both"/>
        <w:rPr>
          <w:rFonts w:ascii="Arial" w:hAnsi="Arial" w:cs="Arial"/>
          <w:bCs/>
          <w:iCs/>
          <w:u w:val="single"/>
        </w:rPr>
      </w:pPr>
      <w:r w:rsidRPr="002B5B8B">
        <w:rPr>
          <w:rFonts w:ascii="Arial" w:hAnsi="Arial" w:cs="Arial"/>
          <w:bCs/>
          <w:iCs/>
          <w:u w:val="single"/>
        </w:rPr>
        <w:t>Do pagamento da despesa:</w:t>
      </w:r>
    </w:p>
    <w:p w14:paraId="0740E3C0"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t>O pagamento será efetuado conforme estabelece o Decreto nº 2480 de 30 de outubro de 2023, 2493 de 07 de novembro de 2023 e 3116 de 18 de setembro de 2024, desde que as certidões listadas abaixo estejam dentro da validade:</w:t>
      </w:r>
    </w:p>
    <w:p w14:paraId="5F6DDEFE" w14:textId="77777777" w:rsidR="002B5B8B" w:rsidRPr="002B5B8B" w:rsidRDefault="002B5B8B" w:rsidP="002B5B8B">
      <w:pPr>
        <w:widowControl/>
        <w:numPr>
          <w:ilvl w:val="0"/>
          <w:numId w:val="13"/>
        </w:numPr>
        <w:tabs>
          <w:tab w:val="clear" w:pos="1440"/>
          <w:tab w:val="left" w:pos="420"/>
        </w:tabs>
        <w:suppressAutoHyphens/>
        <w:autoSpaceDE/>
        <w:autoSpaceDN/>
        <w:spacing w:after="40" w:line="360" w:lineRule="auto"/>
        <w:ind w:left="0" w:firstLine="0"/>
        <w:jc w:val="both"/>
        <w:rPr>
          <w:rFonts w:ascii="Arial" w:hAnsi="Arial" w:cs="Arial"/>
          <w:bCs/>
          <w:iCs/>
        </w:rPr>
      </w:pPr>
      <w:r w:rsidRPr="002B5B8B">
        <w:rPr>
          <w:rFonts w:ascii="Arial" w:hAnsi="Arial" w:cs="Arial"/>
          <w:bCs/>
          <w:iCs/>
        </w:rPr>
        <w:t>Negativa de Débitos Trabalhistas;</w:t>
      </w:r>
    </w:p>
    <w:p w14:paraId="1510907D" w14:textId="77777777" w:rsidR="002B5B8B" w:rsidRPr="002B5B8B" w:rsidRDefault="002B5B8B" w:rsidP="002B5B8B">
      <w:pPr>
        <w:widowControl/>
        <w:numPr>
          <w:ilvl w:val="0"/>
          <w:numId w:val="13"/>
        </w:numPr>
        <w:tabs>
          <w:tab w:val="clear" w:pos="1440"/>
          <w:tab w:val="left" w:pos="420"/>
        </w:tabs>
        <w:suppressAutoHyphens/>
        <w:autoSpaceDE/>
        <w:autoSpaceDN/>
        <w:spacing w:after="40" w:line="360" w:lineRule="auto"/>
        <w:ind w:left="0" w:firstLine="0"/>
        <w:jc w:val="both"/>
        <w:rPr>
          <w:rFonts w:ascii="Arial" w:hAnsi="Arial" w:cs="Arial"/>
          <w:bCs/>
          <w:iCs/>
        </w:rPr>
      </w:pPr>
      <w:r w:rsidRPr="002B5B8B">
        <w:rPr>
          <w:rFonts w:ascii="Arial" w:hAnsi="Arial" w:cs="Arial"/>
          <w:bCs/>
          <w:iCs/>
        </w:rPr>
        <w:t>Fazenda Federal – abrange as contribuições sociais;</w:t>
      </w:r>
    </w:p>
    <w:p w14:paraId="3783D990" w14:textId="77777777" w:rsidR="002B5B8B" w:rsidRPr="002B5B8B" w:rsidRDefault="002B5B8B" w:rsidP="002B5B8B">
      <w:pPr>
        <w:widowControl/>
        <w:numPr>
          <w:ilvl w:val="0"/>
          <w:numId w:val="13"/>
        </w:numPr>
        <w:tabs>
          <w:tab w:val="clear" w:pos="1440"/>
          <w:tab w:val="left" w:pos="420"/>
        </w:tabs>
        <w:suppressAutoHyphens/>
        <w:autoSpaceDE/>
        <w:autoSpaceDN/>
        <w:spacing w:after="40" w:line="360" w:lineRule="auto"/>
        <w:ind w:left="0" w:firstLine="0"/>
        <w:jc w:val="both"/>
        <w:rPr>
          <w:rFonts w:ascii="Arial" w:hAnsi="Arial" w:cs="Arial"/>
          <w:bCs/>
          <w:iCs/>
        </w:rPr>
      </w:pPr>
      <w:r w:rsidRPr="002B5B8B">
        <w:rPr>
          <w:rFonts w:ascii="Arial" w:hAnsi="Arial" w:cs="Arial"/>
          <w:bCs/>
          <w:iCs/>
        </w:rPr>
        <w:t>FGTS;</w:t>
      </w:r>
    </w:p>
    <w:p w14:paraId="583E2E18" w14:textId="77777777" w:rsidR="002B5B8B" w:rsidRPr="002B5B8B" w:rsidRDefault="002B5B8B" w:rsidP="002B5B8B">
      <w:pPr>
        <w:widowControl/>
        <w:numPr>
          <w:ilvl w:val="0"/>
          <w:numId w:val="13"/>
        </w:numPr>
        <w:tabs>
          <w:tab w:val="clear" w:pos="1440"/>
          <w:tab w:val="left" w:pos="420"/>
        </w:tabs>
        <w:suppressAutoHyphens/>
        <w:autoSpaceDE/>
        <w:autoSpaceDN/>
        <w:spacing w:after="40" w:line="360" w:lineRule="auto"/>
        <w:ind w:left="0" w:firstLine="0"/>
        <w:jc w:val="both"/>
        <w:rPr>
          <w:rFonts w:ascii="Arial" w:hAnsi="Arial" w:cs="Arial"/>
          <w:bCs/>
          <w:iCs/>
        </w:rPr>
      </w:pPr>
      <w:r w:rsidRPr="002B5B8B">
        <w:rPr>
          <w:rFonts w:ascii="Arial" w:hAnsi="Arial" w:cs="Arial"/>
          <w:bCs/>
          <w:iCs/>
        </w:rPr>
        <w:t>PGE – referente a Dívida Ativa Estadual;</w:t>
      </w:r>
    </w:p>
    <w:p w14:paraId="647B452E" w14:textId="77777777" w:rsidR="002B5B8B" w:rsidRPr="002B5B8B" w:rsidRDefault="002B5B8B" w:rsidP="002B5B8B">
      <w:pPr>
        <w:widowControl/>
        <w:numPr>
          <w:ilvl w:val="0"/>
          <w:numId w:val="13"/>
        </w:numPr>
        <w:tabs>
          <w:tab w:val="clear" w:pos="1440"/>
          <w:tab w:val="left" w:pos="420"/>
        </w:tabs>
        <w:suppressAutoHyphens/>
        <w:autoSpaceDE/>
        <w:autoSpaceDN/>
        <w:spacing w:after="40" w:line="360" w:lineRule="auto"/>
        <w:ind w:left="0" w:firstLine="0"/>
        <w:jc w:val="both"/>
        <w:rPr>
          <w:rFonts w:ascii="Arial" w:hAnsi="Arial" w:cs="Arial"/>
          <w:bCs/>
          <w:iCs/>
        </w:rPr>
      </w:pPr>
      <w:r w:rsidRPr="002B5B8B">
        <w:rPr>
          <w:rFonts w:ascii="Arial" w:hAnsi="Arial" w:cs="Arial"/>
          <w:bCs/>
          <w:iCs/>
        </w:rPr>
        <w:t>Municipal – referente ao ISS e Dívida Ativa;</w:t>
      </w:r>
    </w:p>
    <w:p w14:paraId="6819D637" w14:textId="77777777" w:rsidR="002B5B8B" w:rsidRPr="002B5B8B" w:rsidRDefault="002B5B8B" w:rsidP="002B5B8B">
      <w:pPr>
        <w:widowControl/>
        <w:numPr>
          <w:ilvl w:val="0"/>
          <w:numId w:val="13"/>
        </w:numPr>
        <w:tabs>
          <w:tab w:val="clear" w:pos="1440"/>
          <w:tab w:val="left" w:pos="420"/>
        </w:tabs>
        <w:suppressAutoHyphens/>
        <w:autoSpaceDE/>
        <w:autoSpaceDN/>
        <w:spacing w:line="360" w:lineRule="auto"/>
        <w:ind w:left="0" w:firstLine="0"/>
        <w:jc w:val="both"/>
        <w:rPr>
          <w:rFonts w:ascii="Arial" w:hAnsi="Arial" w:cs="Arial"/>
          <w:bCs/>
          <w:iCs/>
        </w:rPr>
      </w:pPr>
      <w:r w:rsidRPr="002B5B8B">
        <w:rPr>
          <w:rFonts w:ascii="Arial" w:hAnsi="Arial" w:cs="Arial"/>
          <w:bCs/>
          <w:iCs/>
        </w:rPr>
        <w:t>Estadual CND – referente ao ICMS.</w:t>
      </w:r>
    </w:p>
    <w:p w14:paraId="423BFA62"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t>A Nota Fiscal deverá conter a identificação do Banco, número da Agência e da Conta Corrente, para que possibilite o CONTRATANTE efetuar o pagamento do valor devido.</w:t>
      </w:r>
    </w:p>
    <w:p w14:paraId="12016BDA"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t xml:space="preserve"> Na ocorrência de rejeição da(s) Nota(s) Fiscal(is), motivada por erro ou incorreções, o prazo para pagamento estipulado acima passará a ser contado a partir da data de sua reapresentação.</w:t>
      </w:r>
    </w:p>
    <w:p w14:paraId="5B935366"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3DF35BA7" w14:textId="77777777" w:rsidR="002B5B8B" w:rsidRPr="002B5B8B" w:rsidRDefault="002B5B8B" w:rsidP="002B5B8B">
      <w:pPr>
        <w:widowControl/>
        <w:numPr>
          <w:ilvl w:val="2"/>
          <w:numId w:val="12"/>
        </w:numPr>
        <w:suppressAutoHyphens/>
        <w:autoSpaceDE/>
        <w:autoSpaceDN/>
        <w:spacing w:line="360" w:lineRule="auto"/>
        <w:ind w:left="0" w:firstLine="0"/>
        <w:jc w:val="both"/>
        <w:rPr>
          <w:rFonts w:ascii="Arial" w:hAnsi="Arial" w:cs="Arial"/>
          <w:bCs/>
          <w:iCs/>
        </w:rPr>
      </w:pPr>
      <w:r w:rsidRPr="002B5B8B">
        <w:rPr>
          <w:rFonts w:ascii="Arial" w:hAnsi="Arial" w:cs="Arial"/>
          <w:bCs/>
          <w:iCs/>
        </w:rPr>
        <w:lastRenderedPageBreak/>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02C54635" w14:textId="77777777" w:rsidR="00C23002" w:rsidRPr="008C13A3" w:rsidRDefault="00C23002"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2B5B8B" w:rsidRDefault="0097688D" w:rsidP="00C23002">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2B5B8B">
        <w:rPr>
          <w:rFonts w:ascii="Arial" w:eastAsiaTheme="majorEastAsia" w:hAnsi="Arial" w:cs="Arial"/>
          <w:b/>
          <w:bCs/>
          <w:lang w:val="pt-BR" w:eastAsia="pt-BR"/>
        </w:rPr>
        <w:t>CLÁUSULA SÉTIMA - REAJUSTE (art. 92, V)</w:t>
      </w:r>
    </w:p>
    <w:p w14:paraId="6348F2F6" w14:textId="77777777" w:rsidR="0097688D" w:rsidRPr="002B5B8B"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2B5B8B">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C23002">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2B5B8B"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2B5B8B"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2B5B8B">
        <w:rPr>
          <w:rFonts w:ascii="Arial" w:hAnsi="Arial" w:cs="Arial"/>
          <w:bCs/>
          <w:iCs/>
          <w:lang w:val="pt-BR"/>
        </w:rPr>
        <w:t xml:space="preserve"> A Administração terá o prazo de </w:t>
      </w:r>
      <w:r w:rsidRPr="002B5B8B">
        <w:rPr>
          <w:rFonts w:ascii="Arial" w:hAnsi="Arial" w:cs="Arial"/>
          <w:bCs/>
          <w:iCs/>
        </w:rPr>
        <w:t>1 (um) mês</w:t>
      </w:r>
      <w:r w:rsidRPr="002B5B8B">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2B5B8B"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2B5B8B">
        <w:rPr>
          <w:rFonts w:ascii="Arial" w:hAnsi="Arial" w:cs="Arial"/>
          <w:bCs/>
          <w:iCs/>
          <w:lang w:val="pt-BR"/>
        </w:rPr>
        <w:t xml:space="preserve">Responder eventuais pedidos de reestabelecimento do equilíbrio econômico-financeiro feitos pelo contratado no prazo máximo de </w:t>
      </w:r>
      <w:r w:rsidRPr="002B5B8B">
        <w:rPr>
          <w:rFonts w:ascii="Arial" w:hAnsi="Arial" w:cs="Arial"/>
          <w:bCs/>
          <w:iCs/>
        </w:rPr>
        <w:t>1 (um) mês</w:t>
      </w:r>
      <w:r w:rsidRPr="002B5B8B">
        <w:rPr>
          <w:rFonts w:ascii="Arial" w:hAnsi="Arial" w:cs="Arial"/>
          <w:bCs/>
          <w:iCs/>
          <w:lang w:val="pt-BR"/>
        </w:rPr>
        <w:t>.</w:t>
      </w:r>
    </w:p>
    <w:p w14:paraId="5080FE7D" w14:textId="77777777" w:rsidR="00A27B94" w:rsidRPr="008C13A3" w:rsidRDefault="00A27B94"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C23002">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C23002">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C23002">
      <w:pPr>
        <w:pStyle w:val="Nivel2"/>
        <w:numPr>
          <w:ilvl w:val="1"/>
          <w:numId w:val="1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C23002">
      <w:pPr>
        <w:pStyle w:val="Nivel2"/>
        <w:numPr>
          <w:ilvl w:val="1"/>
          <w:numId w:val="1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C23002">
      <w:pPr>
        <w:pStyle w:val="Nivel2"/>
        <w:numPr>
          <w:ilvl w:val="1"/>
          <w:numId w:val="12"/>
        </w:numPr>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C23002">
      <w:pPr>
        <w:pStyle w:val="Nivel2"/>
        <w:numPr>
          <w:ilvl w:val="1"/>
          <w:numId w:val="1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3EE0B9C4" w:rsidR="004A20F0" w:rsidRPr="008C13A3" w:rsidRDefault="004A20F0" w:rsidP="00C23002">
      <w:pPr>
        <w:pStyle w:val="Nivel2"/>
        <w:numPr>
          <w:ilvl w:val="1"/>
          <w:numId w:val="12"/>
        </w:numPr>
        <w:rPr>
          <w:sz w:val="22"/>
          <w:szCs w:val="22"/>
        </w:rPr>
      </w:pPr>
      <w:r w:rsidRPr="008C13A3">
        <w:rPr>
          <w:sz w:val="22"/>
          <w:szCs w:val="22"/>
        </w:rPr>
        <w:t>Cumprir, além dos postulados legais vigentes de âmbito federal, estadual ou municipal, as normas de segurança do contratante</w:t>
      </w:r>
      <w:r w:rsidR="00717AA9">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C23002">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C23002">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C23002">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lastRenderedPageBreak/>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C23002">
      <w:pPr>
        <w:pStyle w:val="PargrafodaLista"/>
        <w:widowControl/>
        <w:numPr>
          <w:ilvl w:val="1"/>
          <w:numId w:val="1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C23002">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C23002">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C23002">
      <w:pPr>
        <w:pStyle w:val="PargrafodaLista"/>
        <w:widowControl/>
        <w:numPr>
          <w:ilvl w:val="3"/>
          <w:numId w:val="1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C23002">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C23002">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C23002">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4AD9939" w:rsidR="002E43FD" w:rsidRDefault="002E43FD" w:rsidP="00044463">
      <w:pPr>
        <w:pStyle w:val="Nivel01"/>
        <w:numPr>
          <w:ilvl w:val="0"/>
          <w:numId w:val="12"/>
        </w:numPr>
        <w:tabs>
          <w:tab w:val="left" w:pos="284"/>
          <w:tab w:val="left" w:pos="993"/>
        </w:tabs>
        <w:spacing w:line="360" w:lineRule="auto"/>
        <w:ind w:left="0" w:firstLine="0"/>
        <w:rPr>
          <w:rFonts w:ascii="Arial" w:hAnsi="Arial" w:cs="Arial"/>
          <w:sz w:val="22"/>
          <w:szCs w:val="22"/>
        </w:rPr>
      </w:pPr>
      <w:r w:rsidRPr="008C13A3">
        <w:rPr>
          <w:rFonts w:ascii="Arial" w:hAnsi="Arial" w:cs="Arial"/>
          <w:sz w:val="22"/>
          <w:szCs w:val="22"/>
        </w:rPr>
        <w:lastRenderedPageBreak/>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6CFFAE3" w14:textId="3DB8BF29" w:rsidR="00044463" w:rsidRDefault="00044463" w:rsidP="0004446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rPr>
      </w:pPr>
      <w:r>
        <w:rPr>
          <w:rFonts w:ascii="Arial" w:hAnsi="Arial" w:cs="Arial"/>
        </w:rPr>
        <w:t>As despesas decorrentes dos serviços prestados, previstos no presente Termo de Referência, correrão por conta da natureza da despesa, fonte de recurso e programa de trabalho especificados a seguir:</w:t>
      </w:r>
    </w:p>
    <w:p w14:paraId="738A6793" w14:textId="77777777" w:rsidR="00044463" w:rsidRDefault="00044463" w:rsidP="00044463">
      <w:pPr>
        <w:pStyle w:val="PargrafodaLista"/>
        <w:widowControl/>
        <w:suppressAutoHyphens/>
        <w:autoSpaceDE/>
        <w:autoSpaceDN/>
        <w:spacing w:before="0" w:line="360" w:lineRule="auto"/>
        <w:ind w:left="0"/>
        <w:contextualSpacing/>
        <w:jc w:val="both"/>
        <w:rPr>
          <w:rFonts w:ascii="Arial" w:hAnsi="Arial" w:cs="Arial"/>
        </w:rPr>
      </w:pPr>
    </w:p>
    <w:tbl>
      <w:tblPr>
        <w:tblStyle w:val="Tabelacomgrade"/>
        <w:tblW w:w="9039" w:type="dxa"/>
        <w:tblInd w:w="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0"/>
        <w:gridCol w:w="3028"/>
        <w:gridCol w:w="5111"/>
      </w:tblGrid>
      <w:tr w:rsidR="00044463" w14:paraId="4D5D4F69" w14:textId="77777777" w:rsidTr="00C401FE">
        <w:tc>
          <w:tcPr>
            <w:tcW w:w="900" w:type="dxa"/>
            <w:tcBorders>
              <w:top w:val="single" w:sz="4" w:space="0" w:color="auto"/>
              <w:bottom w:val="single" w:sz="4" w:space="0" w:color="auto"/>
            </w:tcBorders>
            <w:vAlign w:val="center"/>
          </w:tcPr>
          <w:p w14:paraId="33D8C2E3" w14:textId="7BDBBBB5" w:rsidR="00044463" w:rsidRDefault="00044463" w:rsidP="00044463">
            <w:pPr>
              <w:pStyle w:val="PargrafodaLista"/>
              <w:spacing w:line="360" w:lineRule="auto"/>
              <w:ind w:left="0"/>
              <w:jc w:val="both"/>
              <w:rPr>
                <w:rFonts w:ascii="Arial" w:hAnsi="Arial" w:cs="Arial"/>
              </w:rPr>
            </w:pPr>
            <w:r>
              <w:rPr>
                <w:rFonts w:ascii="Arial" w:hAnsi="Arial" w:cs="Arial"/>
              </w:rPr>
              <w:t>13.1.1</w:t>
            </w:r>
          </w:p>
        </w:tc>
        <w:tc>
          <w:tcPr>
            <w:tcW w:w="3028" w:type="dxa"/>
            <w:tcBorders>
              <w:top w:val="single" w:sz="4" w:space="0" w:color="auto"/>
              <w:bottom w:val="single" w:sz="4" w:space="0" w:color="auto"/>
            </w:tcBorders>
            <w:vAlign w:val="center"/>
          </w:tcPr>
          <w:p w14:paraId="1DB951F0" w14:textId="77777777" w:rsidR="00044463" w:rsidRDefault="00044463" w:rsidP="00044463">
            <w:pPr>
              <w:pStyle w:val="PargrafodaLista"/>
              <w:spacing w:line="360" w:lineRule="auto"/>
              <w:ind w:left="0"/>
              <w:jc w:val="both"/>
              <w:rPr>
                <w:rFonts w:ascii="Arial" w:hAnsi="Arial" w:cs="Arial"/>
                <w:b/>
                <w:bCs/>
              </w:rPr>
            </w:pPr>
            <w:r>
              <w:rPr>
                <w:rFonts w:ascii="Arial" w:hAnsi="Arial" w:cs="Arial"/>
                <w:b/>
                <w:bCs/>
              </w:rPr>
              <w:t>Elemento de Despesa:</w:t>
            </w:r>
          </w:p>
        </w:tc>
        <w:tc>
          <w:tcPr>
            <w:tcW w:w="5111" w:type="dxa"/>
            <w:tcBorders>
              <w:top w:val="single" w:sz="4" w:space="0" w:color="auto"/>
              <w:bottom w:val="single" w:sz="4" w:space="0" w:color="auto"/>
            </w:tcBorders>
            <w:vAlign w:val="center"/>
          </w:tcPr>
          <w:p w14:paraId="69892500" w14:textId="77777777" w:rsidR="00044463" w:rsidRDefault="00044463" w:rsidP="00044463">
            <w:pPr>
              <w:pStyle w:val="PargrafodaLista"/>
              <w:spacing w:line="360" w:lineRule="auto"/>
              <w:ind w:left="0"/>
              <w:jc w:val="both"/>
              <w:rPr>
                <w:rFonts w:ascii="Arial" w:hAnsi="Arial" w:cs="Arial"/>
              </w:rPr>
            </w:pPr>
            <w:r>
              <w:rPr>
                <w:rFonts w:ascii="Arial" w:hAnsi="Arial" w:cs="Arial"/>
                <w:b/>
                <w:bCs/>
              </w:rPr>
              <w:t>33.90.30-16</w:t>
            </w:r>
            <w:r>
              <w:rPr>
                <w:rFonts w:ascii="Arial" w:hAnsi="Arial" w:cs="Arial"/>
              </w:rPr>
              <w:t xml:space="preserve"> – Gêneros Alimentícios</w:t>
            </w:r>
          </w:p>
        </w:tc>
      </w:tr>
      <w:tr w:rsidR="00044463" w14:paraId="554E3ABC" w14:textId="77777777" w:rsidTr="00C401FE">
        <w:tc>
          <w:tcPr>
            <w:tcW w:w="900" w:type="dxa"/>
            <w:tcBorders>
              <w:top w:val="single" w:sz="4" w:space="0" w:color="auto"/>
              <w:bottom w:val="single" w:sz="4" w:space="0" w:color="auto"/>
            </w:tcBorders>
            <w:vAlign w:val="center"/>
          </w:tcPr>
          <w:p w14:paraId="0FBC43E4" w14:textId="69A62DC0" w:rsidR="00044463" w:rsidRDefault="00044463" w:rsidP="00044463">
            <w:pPr>
              <w:pStyle w:val="PargrafodaLista"/>
              <w:spacing w:line="360" w:lineRule="auto"/>
              <w:ind w:left="0"/>
              <w:jc w:val="both"/>
              <w:rPr>
                <w:rFonts w:ascii="Arial" w:hAnsi="Arial" w:cs="Arial"/>
              </w:rPr>
            </w:pPr>
            <w:r>
              <w:rPr>
                <w:rFonts w:ascii="Arial" w:hAnsi="Arial" w:cs="Arial"/>
              </w:rPr>
              <w:t>13.1.2</w:t>
            </w:r>
          </w:p>
        </w:tc>
        <w:tc>
          <w:tcPr>
            <w:tcW w:w="3028" w:type="dxa"/>
            <w:tcBorders>
              <w:top w:val="single" w:sz="4" w:space="0" w:color="auto"/>
              <w:bottom w:val="single" w:sz="4" w:space="0" w:color="auto"/>
            </w:tcBorders>
            <w:vAlign w:val="center"/>
          </w:tcPr>
          <w:p w14:paraId="44854603" w14:textId="77777777" w:rsidR="00044463" w:rsidRDefault="00044463" w:rsidP="00044463">
            <w:pPr>
              <w:pStyle w:val="PargrafodaLista"/>
              <w:spacing w:line="360" w:lineRule="auto"/>
              <w:ind w:left="0"/>
              <w:jc w:val="both"/>
              <w:rPr>
                <w:rFonts w:ascii="Arial" w:hAnsi="Arial" w:cs="Arial"/>
                <w:b/>
                <w:bCs/>
              </w:rPr>
            </w:pPr>
            <w:r>
              <w:rPr>
                <w:rFonts w:ascii="Arial" w:hAnsi="Arial" w:cs="Arial"/>
                <w:b/>
                <w:bCs/>
              </w:rPr>
              <w:t>Fonte de Recurso:</w:t>
            </w:r>
          </w:p>
        </w:tc>
        <w:tc>
          <w:tcPr>
            <w:tcW w:w="5111" w:type="dxa"/>
            <w:tcBorders>
              <w:top w:val="single" w:sz="4" w:space="0" w:color="auto"/>
              <w:bottom w:val="single" w:sz="4" w:space="0" w:color="auto"/>
            </w:tcBorders>
            <w:vAlign w:val="center"/>
          </w:tcPr>
          <w:p w14:paraId="47DBC62B" w14:textId="77777777" w:rsidR="00044463" w:rsidRDefault="00044463" w:rsidP="00044463">
            <w:pPr>
              <w:pStyle w:val="PargrafodaLista"/>
              <w:spacing w:line="360" w:lineRule="auto"/>
              <w:ind w:left="0"/>
              <w:jc w:val="both"/>
              <w:rPr>
                <w:rFonts w:ascii="Arial" w:hAnsi="Arial" w:cs="Arial"/>
              </w:rPr>
            </w:pPr>
            <w:r>
              <w:rPr>
                <w:rFonts w:ascii="Arial" w:hAnsi="Arial" w:cs="Arial"/>
                <w:b/>
                <w:bCs/>
              </w:rPr>
              <w:t>172000000017</w:t>
            </w:r>
            <w:r>
              <w:rPr>
                <w:rFonts w:ascii="Arial" w:hAnsi="Arial" w:cs="Arial"/>
              </w:rPr>
              <w:t xml:space="preserve"> - Royalties</w:t>
            </w:r>
          </w:p>
        </w:tc>
      </w:tr>
      <w:tr w:rsidR="00044463" w14:paraId="28BDFF4F" w14:textId="77777777" w:rsidTr="00C401FE">
        <w:tc>
          <w:tcPr>
            <w:tcW w:w="900" w:type="dxa"/>
            <w:tcBorders>
              <w:top w:val="single" w:sz="4" w:space="0" w:color="auto"/>
              <w:bottom w:val="single" w:sz="4" w:space="0" w:color="auto"/>
            </w:tcBorders>
            <w:vAlign w:val="center"/>
          </w:tcPr>
          <w:p w14:paraId="35301357" w14:textId="602F00C1" w:rsidR="00044463" w:rsidRDefault="00044463" w:rsidP="00044463">
            <w:pPr>
              <w:pStyle w:val="PargrafodaLista"/>
              <w:spacing w:line="360" w:lineRule="auto"/>
              <w:ind w:left="0"/>
              <w:jc w:val="both"/>
              <w:rPr>
                <w:rFonts w:ascii="Arial" w:hAnsi="Arial" w:cs="Arial"/>
              </w:rPr>
            </w:pPr>
            <w:r>
              <w:rPr>
                <w:rFonts w:ascii="Arial" w:hAnsi="Arial" w:cs="Arial"/>
              </w:rPr>
              <w:t>13.1.3</w:t>
            </w:r>
          </w:p>
        </w:tc>
        <w:tc>
          <w:tcPr>
            <w:tcW w:w="3028" w:type="dxa"/>
            <w:tcBorders>
              <w:top w:val="single" w:sz="4" w:space="0" w:color="auto"/>
              <w:bottom w:val="single" w:sz="4" w:space="0" w:color="auto"/>
            </w:tcBorders>
            <w:vAlign w:val="center"/>
          </w:tcPr>
          <w:p w14:paraId="1062D0AB" w14:textId="77777777" w:rsidR="00044463" w:rsidRDefault="00044463" w:rsidP="00044463">
            <w:pPr>
              <w:pStyle w:val="PargrafodaLista"/>
              <w:spacing w:line="360" w:lineRule="auto"/>
              <w:ind w:left="0"/>
              <w:jc w:val="both"/>
              <w:rPr>
                <w:rFonts w:ascii="Arial" w:hAnsi="Arial" w:cs="Arial"/>
                <w:b/>
                <w:bCs/>
              </w:rPr>
            </w:pPr>
            <w:r>
              <w:rPr>
                <w:rFonts w:ascii="Arial" w:hAnsi="Arial" w:cs="Arial"/>
                <w:b/>
                <w:bCs/>
              </w:rPr>
              <w:t>Programas de Trabalho:</w:t>
            </w:r>
          </w:p>
        </w:tc>
        <w:tc>
          <w:tcPr>
            <w:tcW w:w="5111" w:type="dxa"/>
            <w:tcBorders>
              <w:top w:val="single" w:sz="4" w:space="0" w:color="auto"/>
              <w:bottom w:val="single" w:sz="4" w:space="0" w:color="auto"/>
            </w:tcBorders>
          </w:tcPr>
          <w:p w14:paraId="39EBDE5A" w14:textId="77777777" w:rsidR="00044463" w:rsidRDefault="00044463" w:rsidP="00044463">
            <w:pPr>
              <w:pStyle w:val="PargrafodaLista"/>
              <w:spacing w:line="360" w:lineRule="auto"/>
              <w:ind w:left="0"/>
              <w:jc w:val="both"/>
              <w:rPr>
                <w:rFonts w:ascii="Arial" w:hAnsi="Arial" w:cs="Arial"/>
              </w:rPr>
            </w:pPr>
            <w:r>
              <w:rPr>
                <w:rFonts w:ascii="Arial" w:hAnsi="Arial" w:cs="Arial"/>
                <w:b/>
                <w:bCs/>
              </w:rPr>
              <w:t xml:space="preserve">51.002.04.122.00012.002 </w:t>
            </w:r>
            <w:r>
              <w:rPr>
                <w:rFonts w:ascii="Arial" w:hAnsi="Arial" w:cs="Arial"/>
              </w:rPr>
              <w:t>Manutenção dos Serviços Administrativos e Apoio à Execução dos Programas</w:t>
            </w:r>
          </w:p>
        </w:tc>
      </w:tr>
    </w:tbl>
    <w:p w14:paraId="662F400A" w14:textId="77777777" w:rsidR="00044463" w:rsidRDefault="00044463" w:rsidP="00044463">
      <w:pPr>
        <w:pStyle w:val="PargrafodaLista"/>
        <w:widowControl/>
        <w:suppressAutoHyphens/>
        <w:autoSpaceDE/>
        <w:autoSpaceDN/>
        <w:spacing w:before="0" w:line="360" w:lineRule="auto"/>
        <w:ind w:left="0"/>
        <w:contextualSpacing/>
        <w:jc w:val="both"/>
        <w:rPr>
          <w:rFonts w:ascii="Arial" w:hAnsi="Arial" w:cs="Arial"/>
        </w:rPr>
      </w:pPr>
      <w:r>
        <w:rPr>
          <w:rFonts w:ascii="Arial" w:hAnsi="Arial" w:cs="Arial"/>
        </w:rPr>
        <w:t xml:space="preserve"> </w:t>
      </w:r>
    </w:p>
    <w:p w14:paraId="1BF840A9" w14:textId="063CD11F" w:rsidR="00044463" w:rsidRDefault="00044463" w:rsidP="00044463">
      <w:pPr>
        <w:pStyle w:val="PargrafodaLista"/>
        <w:widowControl/>
        <w:numPr>
          <w:ilvl w:val="1"/>
          <w:numId w:val="12"/>
        </w:numPr>
        <w:suppressAutoHyphens/>
        <w:autoSpaceDE/>
        <w:autoSpaceDN/>
        <w:spacing w:before="0" w:line="360" w:lineRule="auto"/>
        <w:ind w:left="0" w:firstLine="0"/>
        <w:contextualSpacing/>
        <w:jc w:val="both"/>
        <w:rPr>
          <w:rFonts w:ascii="Arial" w:hAnsi="Arial" w:cs="Arial"/>
        </w:rPr>
      </w:pPr>
      <w:r>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18D94B95" w:rsidR="00D90EA5" w:rsidRPr="008C13A3" w:rsidRDefault="00D90EA5" w:rsidP="00C23002">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C23002">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C23002">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C23002">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C23002">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C23002">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C23002">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C23002">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C23002">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w:t>
      </w:r>
      <w:r w:rsidRPr="008C13A3">
        <w:rPr>
          <w:rFonts w:ascii="Arial" w:hAnsi="Arial" w:cs="Arial"/>
        </w:rPr>
        <w:lastRenderedPageBreak/>
        <w:t xml:space="preserve">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C23002">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C23002">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C23002">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000E78D7"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044463">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55303">
      <w:headerReference w:type="default" r:id="rId50"/>
      <w:footerReference w:type="default" r:id="rId51"/>
      <w:pgSz w:w="11910" w:h="16840"/>
      <w:pgMar w:top="1418" w:right="1418" w:bottom="1418" w:left="1418" w:header="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B68D" w14:textId="77777777" w:rsidR="002D315F" w:rsidRDefault="002D315F">
      <w:r>
        <w:separator/>
      </w:r>
    </w:p>
  </w:endnote>
  <w:endnote w:type="continuationSeparator" w:id="0">
    <w:p w14:paraId="19FFA499" w14:textId="77777777" w:rsidR="002D315F" w:rsidRDefault="002D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72BC" w14:textId="77777777" w:rsidR="002D315F" w:rsidRDefault="002D315F">
      <w:r>
        <w:separator/>
      </w:r>
    </w:p>
  </w:footnote>
  <w:footnote w:type="continuationSeparator" w:id="0">
    <w:p w14:paraId="53768A88" w14:textId="77777777" w:rsidR="002D315F" w:rsidRDefault="002D3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3830" w14:textId="77777777" w:rsidR="00955303" w:rsidRPr="00A05282" w:rsidRDefault="00955303" w:rsidP="00955303">
    <w:pPr>
      <w:pStyle w:val="Cabealho"/>
      <w:ind w:left="-426" w:hanging="426"/>
    </w:pPr>
    <w:r>
      <w:rPr>
        <w:noProof/>
      </w:rPr>
      <mc:AlternateContent>
        <mc:Choice Requires="wps">
          <w:drawing>
            <wp:anchor distT="0" distB="0" distL="114300" distR="114300" simplePos="0" relativeHeight="251659264" behindDoc="1" locked="0" layoutInCell="1" allowOverlap="1" wp14:anchorId="01A12AB6" wp14:editId="4FB20B11">
              <wp:simplePos x="0" y="0"/>
              <wp:positionH relativeFrom="column">
                <wp:posOffset>4249006</wp:posOffset>
              </wp:positionH>
              <wp:positionV relativeFrom="paragraph">
                <wp:posOffset>299720</wp:posOffset>
              </wp:positionV>
              <wp:extent cx="2019300" cy="647700"/>
              <wp:effectExtent l="0" t="0" r="19050" b="1905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25DB46AD" w14:textId="77777777" w:rsidR="00955303" w:rsidRDefault="00955303" w:rsidP="00955303">
                          <w:pPr>
                            <w:pStyle w:val="SemEspaamento"/>
                          </w:pPr>
                          <w:r>
                            <w:rPr>
                              <w:rFonts w:cs="Calibri"/>
                              <w:sz w:val="20"/>
                              <w:szCs w:val="20"/>
                            </w:rPr>
                            <w:t>PROCESSO Nº: 30.667/2024</w:t>
                          </w:r>
                        </w:p>
                        <w:p w14:paraId="68332BB1" w14:textId="77777777" w:rsidR="00955303" w:rsidRDefault="00955303" w:rsidP="00955303">
                          <w:pPr>
                            <w:pStyle w:val="SemEspaamento"/>
                          </w:pPr>
                        </w:p>
                        <w:p w14:paraId="0E202522" w14:textId="77777777" w:rsidR="00955303" w:rsidRDefault="00955303" w:rsidP="00955303">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01A12AB6" id="Retângulo 4" o:spid="_x0000_s1026" style="position:absolute;left:0;text-align:left;margin-left:334.55pt;margin-top:23.6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" strokeweight=".26mm">
              <v:stroke joinstyle="round"/>
              <v:path arrowok="t"/>
              <v:textbox>
                <w:txbxContent>
                  <w:p w14:paraId="25DB46AD" w14:textId="77777777" w:rsidR="00955303" w:rsidRDefault="00955303" w:rsidP="00955303">
                    <w:pPr>
                      <w:pStyle w:val="SemEspaamento"/>
                    </w:pPr>
                    <w:r>
                      <w:rPr>
                        <w:rFonts w:cs="Calibri"/>
                        <w:sz w:val="20"/>
                        <w:szCs w:val="20"/>
                      </w:rPr>
                      <w:t>PROCESSO Nº: 30.667/2024</w:t>
                    </w:r>
                  </w:p>
                  <w:p w14:paraId="68332BB1" w14:textId="77777777" w:rsidR="00955303" w:rsidRDefault="00955303" w:rsidP="00955303">
                    <w:pPr>
                      <w:pStyle w:val="SemEspaamento"/>
                    </w:pPr>
                  </w:p>
                  <w:p w14:paraId="0E202522" w14:textId="77777777" w:rsidR="00955303" w:rsidRDefault="00955303" w:rsidP="00955303">
                    <w:pPr>
                      <w:pStyle w:val="SemEspaamento"/>
                    </w:pPr>
                    <w:r>
                      <w:rPr>
                        <w:rFonts w:cs="Calibri"/>
                        <w:sz w:val="20"/>
                        <w:szCs w:val="20"/>
                      </w:rPr>
                      <w:t xml:space="preserve">RUBRICA:______FOLHA:______ </w:t>
                    </w:r>
                    <w:r>
                      <w:rPr>
                        <w:sz w:val="20"/>
                        <w:szCs w:val="20"/>
                      </w:rPr>
                      <w:t>______</w:t>
                    </w:r>
                  </w:p>
                </w:txbxContent>
              </v:textbox>
            </v:rect>
          </w:pict>
        </mc:Fallback>
      </mc:AlternateContent>
    </w: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rsidRPr="00B0184A">
      <w:rPr>
        <w:noProof/>
      </w:rPr>
      <w:drawing>
        <wp:inline distT="0" distB="0" distL="0" distR="0" wp14:anchorId="7F25B62A" wp14:editId="64CA59B0">
          <wp:extent cx="4850130" cy="119253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0130" cy="1192530"/>
                  </a:xfrm>
                  <a:prstGeom prst="rect">
                    <a:avLst/>
                  </a:prstGeom>
                  <a:noFill/>
                  <a:ln>
                    <a:noFill/>
                  </a:ln>
                </pic:spPr>
              </pic:pic>
            </a:graphicData>
          </a:graphic>
        </wp:inline>
      </w:drawing>
    </w:r>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BCF4410"/>
    <w:multiLevelType w:val="multilevel"/>
    <w:tmpl w:val="EA3CA1B6"/>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92345D"/>
    <w:multiLevelType w:val="multilevel"/>
    <w:tmpl w:val="1192345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631CA95"/>
    <w:multiLevelType w:val="multilevel"/>
    <w:tmpl w:val="1631CA95"/>
    <w:lvl w:ilvl="0">
      <w:start w:val="1"/>
      <w:numFmt w:val="decimal"/>
      <w:suff w:val="space"/>
      <w:lvlText w:val="%1."/>
      <w:lvlJc w:val="left"/>
      <w:pPr>
        <w:ind w:left="720" w:hanging="360"/>
      </w:pPr>
      <w:rPr>
        <w:rFonts w:hint="default"/>
        <w:b/>
        <w:bCs/>
      </w:rPr>
    </w:lvl>
    <w:lvl w:ilvl="1">
      <w:start w:val="1"/>
      <w:numFmt w:val="decimal"/>
      <w:suff w:val="space"/>
      <w:lvlText w:val="%1.%2"/>
      <w:lvlJc w:val="left"/>
      <w:pPr>
        <w:tabs>
          <w:tab w:val="left" w:pos="0"/>
        </w:tabs>
        <w:ind w:left="0" w:firstLine="0"/>
      </w:pPr>
      <w:rPr>
        <w:rFonts w:ascii="Calibri" w:hAnsi="Calibri" w:cs="Calibri" w:hint="default"/>
        <w:b/>
        <w:bCs/>
        <w:color w:val="auto"/>
        <w:sz w:val="24"/>
        <w:szCs w:val="24"/>
      </w:rPr>
    </w:lvl>
    <w:lvl w:ilvl="2">
      <w:start w:val="1"/>
      <w:numFmt w:val="decimal"/>
      <w:suff w:val="space"/>
      <w:lvlText w:val="%1.%2.%3"/>
      <w:lvlJc w:val="left"/>
      <w:pPr>
        <w:ind w:left="0" w:firstLine="0"/>
      </w:pPr>
      <w:rPr>
        <w:rFonts w:ascii="Calibri" w:eastAsia="SimSun" w:hAnsi="Calibri" w:cs="Calibri" w:hint="default"/>
        <w:b/>
        <w:bCs/>
        <w:color w:val="auto"/>
        <w:sz w:val="24"/>
        <w:szCs w:val="24"/>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6DB91D48"/>
    <w:multiLevelType w:val="multilevel"/>
    <w:tmpl w:val="0A666970"/>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1"/>
  </w:num>
  <w:num w:numId="4">
    <w:abstractNumId w:val="8"/>
  </w:num>
  <w:num w:numId="5">
    <w:abstractNumId w:val="2"/>
  </w:num>
  <w:num w:numId="6">
    <w:abstractNumId w:val="12"/>
  </w:num>
  <w:num w:numId="7">
    <w:abstractNumId w:val="5"/>
  </w:num>
  <w:num w:numId="8">
    <w:abstractNumId w:val="10"/>
  </w:num>
  <w:num w:numId="9">
    <w:abstractNumId w:val="9"/>
  </w:num>
  <w:num w:numId="10">
    <w:abstractNumId w:val="6"/>
  </w:num>
  <w:num w:numId="11">
    <w:abstractNumId w:val="11"/>
  </w:num>
  <w:num w:numId="12">
    <w:abstractNumId w:val="3"/>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44463"/>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2791"/>
    <w:rsid w:val="001767E4"/>
    <w:rsid w:val="00185DBF"/>
    <w:rsid w:val="00187C1B"/>
    <w:rsid w:val="00193060"/>
    <w:rsid w:val="0019666A"/>
    <w:rsid w:val="001A0D41"/>
    <w:rsid w:val="001A1733"/>
    <w:rsid w:val="001B147C"/>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B5B8B"/>
    <w:rsid w:val="002C2DB1"/>
    <w:rsid w:val="002D315F"/>
    <w:rsid w:val="002E0D02"/>
    <w:rsid w:val="002E43FD"/>
    <w:rsid w:val="002E71FD"/>
    <w:rsid w:val="002F2CC8"/>
    <w:rsid w:val="002F585C"/>
    <w:rsid w:val="00315F43"/>
    <w:rsid w:val="00320761"/>
    <w:rsid w:val="0032285B"/>
    <w:rsid w:val="00323F3D"/>
    <w:rsid w:val="00326DB2"/>
    <w:rsid w:val="0032772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17AA9"/>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309F"/>
    <w:rsid w:val="009162EB"/>
    <w:rsid w:val="0092129B"/>
    <w:rsid w:val="009213D5"/>
    <w:rsid w:val="00923B3A"/>
    <w:rsid w:val="009327CB"/>
    <w:rsid w:val="009335AB"/>
    <w:rsid w:val="00941655"/>
    <w:rsid w:val="00944FFE"/>
    <w:rsid w:val="00954199"/>
    <w:rsid w:val="00955303"/>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748"/>
    <w:rsid w:val="00A92914"/>
    <w:rsid w:val="00A94653"/>
    <w:rsid w:val="00A96E16"/>
    <w:rsid w:val="00AA4EF9"/>
    <w:rsid w:val="00AC1FD2"/>
    <w:rsid w:val="00AC3654"/>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23002"/>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64C8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15</Pages>
  <Words>5660</Words>
  <Characters>30564</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49</cp:revision>
  <cp:lastPrinted>2023-08-22T17:19:00Z</cp:lastPrinted>
  <dcterms:created xsi:type="dcterms:W3CDTF">2023-08-18T18:10:00Z</dcterms:created>
  <dcterms:modified xsi:type="dcterms:W3CDTF">2025-02-24T16:41:00Z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